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48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667"/>
        <w:gridCol w:w="4379"/>
        <w:gridCol w:w="5122"/>
        <w:gridCol w:w="312"/>
      </w:tblGrid>
      <w:tr>
        <w:tblPrEx>
          <w:shd w:val="clear" w:color="auto" w:fill="cdd4e9"/>
        </w:tblPrEx>
        <w:trPr>
          <w:trHeight w:val="290" w:hRule="atLeast"/>
        </w:trPr>
        <w:tc>
          <w:tcPr>
            <w:tcW w:type="dxa" w:w="10168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2f559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b w:val="1"/>
                <w:bCs w:val="1"/>
                <w:outline w:val="0"/>
                <w:color w:val="ffffff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Charakteristika predkladan</w:t>
            </w:r>
            <w:r>
              <w:rPr>
                <w:b w:val="1"/>
                <w:bCs w:val="1"/>
                <w:outline w:val="0"/>
                <w:color w:val="ffffff"/>
                <w:u w:color="ffffff"/>
                <w:shd w:val="nil" w:color="auto" w:fill="auto"/>
                <w:rtl w:val="0"/>
                <w:lang w:val="fr-FR"/>
                <w14:textFill>
                  <w14:solidFill>
                    <w14:srgbClr w14:val="FFFFFF"/>
                  </w14:solidFill>
                </w14:textFill>
              </w:rPr>
              <w:t>é</w:t>
            </w:r>
            <w:r>
              <w:rPr>
                <w:b w:val="1"/>
                <w:bCs w:val="1"/>
                <w:outline w:val="0"/>
                <w:color w:val="ffffff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ho v</w:t>
            </w:r>
            <w:r>
              <w:rPr>
                <w:b w:val="1"/>
                <w:bCs w:val="1"/>
                <w:outline w:val="0"/>
                <w:color w:val="ffffff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ý</w:t>
            </w:r>
            <w:r>
              <w:rPr>
                <w:b w:val="1"/>
                <w:bCs w:val="1"/>
                <w:outline w:val="0"/>
                <w:color w:val="ffffff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 xml:space="preserve">stupu tvorivej </w:t>
            </w:r>
            <w:r>
              <w:rPr>
                <w:b w:val="1"/>
                <w:bCs w:val="1"/>
                <w:outline w:val="0"/>
                <w:color w:val="ffffff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č</w:t>
            </w:r>
            <w:r>
              <w:rPr>
                <w:b w:val="1"/>
                <w:bCs w:val="1"/>
                <w:outline w:val="0"/>
                <w:color w:val="ffffff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 xml:space="preserve">innosti / </w:t>
            </w:r>
            <w:r>
              <w:rPr>
                <w:b w:val="1"/>
                <w:bCs w:val="1"/>
                <w:outline w:val="0"/>
                <w:color w:val="ffffff"/>
                <w:u w:color="ffffff"/>
                <w:shd w:val="nil" w:color="auto" w:fill="auto"/>
                <w14:textFill>
                  <w14:solidFill>
                    <w14:srgbClr w14:val="FFFFFF"/>
                  </w14:solidFill>
                </w14:textFill>
              </w:rPr>
              <w:br w:type="textWrapping"/>
            </w:r>
            <w:r>
              <w:rPr>
                <w:b w:val="1"/>
                <w:bCs w:val="1"/>
                <w:outline w:val="0"/>
                <w:color w:val="ffffff"/>
                <w:u w:color="ffffff"/>
                <w:shd w:val="nil" w:color="auto" w:fill="auto"/>
                <w:rtl w:val="0"/>
                <w:lang w:val="en-US"/>
                <w14:textFill>
                  <w14:solidFill>
                    <w14:srgbClr w14:val="FFFFFF"/>
                  </w14:solidFill>
                </w14:textFill>
              </w:rPr>
              <w:t>Characteristics of the submitted research/ artistic/other output</w:t>
            </w:r>
          </w:p>
        </w:tc>
        <w:tc>
          <w:tcPr>
            <w:tcW w:type="dxa" w:w="3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90" w:hRule="atLeast"/>
        </w:trPr>
        <w:tc>
          <w:tcPr>
            <w:tcW w:type="dxa" w:w="10168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2f5597"/>
          </w:tcPr>
          <w:p/>
        </w:tc>
        <w:tc>
          <w:tcPr>
            <w:tcW w:type="dxa" w:w="3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dd4e9"/>
        </w:tblPrEx>
        <w:trPr>
          <w:trHeight w:val="232" w:hRule="atLeast"/>
        </w:trPr>
        <w:tc>
          <w:tcPr>
            <w:tcW w:type="dxa" w:w="6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3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1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222" w:hRule="atLeast"/>
        </w:trPr>
        <w:tc>
          <w:tcPr>
            <w:tcW w:type="dxa" w:w="10168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.0"/>
              <w:spacing w:after="0" w:line="240" w:lineRule="auto"/>
            </w:pP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Tla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č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:lang w:val="pt-PT"/>
                <w14:textFill>
                  <w14:solidFill>
                    <w14:srgbClr w14:val="2F5597"/>
                  </w14:solidFill>
                </w14:textFill>
              </w:rPr>
              <w:t>ivo VTC sl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úž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i na predkladanie v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ý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 xml:space="preserve">stupov tvorivej 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č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innosti pod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ľ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a metodiky hodnotenia tvoriv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ý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:lang w:val="de-DE"/>
                <w14:textFill>
                  <w14:solidFill>
                    <w14:srgbClr w14:val="2F5597"/>
                  </w14:solidFill>
                </w14:textFill>
              </w:rPr>
              <w:t xml:space="preserve">ch 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č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innost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 xml:space="preserve">í 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(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č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as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 xml:space="preserve">ť 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 xml:space="preserve">V. Metodiky na vyhodnocovanie 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14:textFill>
                  <w14:solidFill>
                    <w14:srgbClr w14:val="2F5597"/>
                  </w14:solidFill>
                </w14:textFill>
              </w:rPr>
              <w:t>š</w:t>
            </w:r>
            <w:r>
              <w:rPr>
                <w:i w:val="1"/>
                <w:iCs w:val="1"/>
                <w:outline w:val="0"/>
                <w:color w:val="2f5597"/>
                <w:sz w:val="16"/>
                <w:szCs w:val="16"/>
                <w:u w:color="2f5597"/>
                <w:shd w:val="nil" w:color="auto" w:fill="auto"/>
                <w:rtl w:val="0"/>
                <w:lang w:val="en-US"/>
                <w14:textFill>
                  <w14:solidFill>
                    <w14:srgbClr w14:val="2F5597"/>
                  </w14:solidFill>
                </w14:textFill>
              </w:rPr>
              <w:t xml:space="preserve">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type="dxa" w:w="3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228" w:hRule="atLeast"/>
        </w:trPr>
        <w:tc>
          <w:tcPr>
            <w:tcW w:type="dxa" w:w="10168"/>
            <w:gridSpan w:val="3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dd4e9"/>
        </w:tblPrEx>
        <w:trPr>
          <w:trHeight w:val="232" w:hRule="atLeast"/>
        </w:trPr>
        <w:tc>
          <w:tcPr>
            <w:tcW w:type="dxa" w:w="6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379"/>
            <w:tcBorders>
              <w:top w:val="nil"/>
              <w:left w:val="nil"/>
              <w:bottom w:val="single" w:color="2f5597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122"/>
            <w:tcBorders>
              <w:top w:val="nil"/>
              <w:left w:val="nil"/>
              <w:bottom w:val="single" w:color="2f5597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232" w:hRule="atLeast"/>
        </w:trPr>
        <w:tc>
          <w:tcPr>
            <w:tcW w:type="dxa" w:w="667"/>
            <w:tcBorders>
              <w:top w:val="nil"/>
              <w:left w:val="nil"/>
              <w:bottom w:val="nil"/>
              <w:right w:val="single" w:color="2f559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379"/>
            <w:tcBorders>
              <w:top w:val="single" w:color="2f5597" w:sz="8" w:space="0" w:shadow="0" w:frame="0"/>
              <w:left w:val="single" w:color="2f5597" w:sz="8" w:space="0" w:shadow="0" w:frame="0"/>
              <w:bottom w:val="nil"/>
              <w:right w:val="dashed" w:color="2f5597" w:sz="4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ID konania/ID of the procedure: 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>1</w:t>
            </w:r>
          </w:p>
        </w:tc>
        <w:tc>
          <w:tcPr>
            <w:tcW w:type="dxa" w:w="5122"/>
            <w:tcBorders>
              <w:top w:val="single" w:color="2f5597" w:sz="8" w:space="0" w:shadow="0" w:frame="0"/>
              <w:left w:val="dashed" w:color="2f5597" w:sz="4" w:space="0" w:shadow="0" w:frame="0"/>
              <w:bottom w:val="nil"/>
              <w:right w:val="single" w:color="2f559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 </w:t>
            </w:r>
          </w:p>
        </w:tc>
        <w:tc>
          <w:tcPr>
            <w:tcW w:type="dxa" w:w="312"/>
            <w:tcBorders>
              <w:top w:val="nil"/>
              <w:left w:val="single" w:color="2f5597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232" w:hRule="atLeast"/>
        </w:trPr>
        <w:tc>
          <w:tcPr>
            <w:tcW w:type="dxa" w:w="667"/>
            <w:tcBorders>
              <w:top w:val="nil"/>
              <w:left w:val="nil"/>
              <w:bottom w:val="nil"/>
              <w:right w:val="single" w:color="2f559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379"/>
            <w:tcBorders>
              <w:top w:val="nil"/>
              <w:left w:val="single" w:color="2f5597" w:sz="8" w:space="0" w:shadow="0" w:frame="0"/>
              <w:bottom w:val="single" w:color="2f5597" w:sz="8" w:space="0" w:shadow="0" w:frame="0"/>
              <w:right w:val="dashed" w:color="2f5597" w:sz="4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K</w:t>
            </w:r>
            <w:r>
              <w:rPr>
                <w:sz w:val="16"/>
                <w:szCs w:val="16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>d VTC/Code of the research/artistic/other output (RAOO):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>1</w:t>
            </w:r>
          </w:p>
        </w:tc>
        <w:tc>
          <w:tcPr>
            <w:tcW w:type="dxa" w:w="5122"/>
            <w:tcBorders>
              <w:top w:val="nil"/>
              <w:left w:val="dashed" w:color="2f5597" w:sz="4" w:space="0" w:shadow="0" w:frame="0"/>
              <w:bottom w:val="single" w:color="2f5597" w:sz="8" w:space="0" w:shadow="0" w:frame="0"/>
              <w:right w:val="single" w:color="2f559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 </w:t>
            </w:r>
          </w:p>
        </w:tc>
        <w:tc>
          <w:tcPr>
            <w:tcW w:type="dxa" w:w="312"/>
            <w:tcBorders>
              <w:top w:val="nil"/>
              <w:left w:val="single" w:color="2f5597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245" w:hRule="atLeast"/>
        </w:trPr>
        <w:tc>
          <w:tcPr>
            <w:tcW w:type="dxa" w:w="667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379"/>
            <w:tcBorders>
              <w:top w:val="single" w:color="2f5597" w:sz="8" w:space="0" w:shadow="0" w:frame="0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122"/>
            <w:tcBorders>
              <w:top w:val="single" w:color="2f5597" w:sz="8" w:space="0" w:shadow="0" w:frame="0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420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OCA1. Priezvisko hodnotenej osoby / Surname awarded to the assessed person 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>2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Kuch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rov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á </w:t>
            </w:r>
          </w:p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232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OCA2. Meno hodnotenej osoby / Name awarded to the assessed person 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>2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Calibri" w:hAnsi="Calibri"/>
                <w:sz w:val="16"/>
                <w:szCs w:val="16"/>
                <w:rtl w:val="0"/>
              </w:rPr>
              <w:t>Barbora</w:t>
            </w:r>
          </w:p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420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OCA3. Tituly hodnotenej osoby / Degrees awarded to the assessed person 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>2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PhDr., MBA, MPH</w:t>
            </w:r>
          </w:p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520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  <w:lang w:val="nl-NL"/>
              </w:rPr>
              <w:t>OCA4. Hyperlink na z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znam osoby v Registri zamestnancov vysok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  <w:lang w:val="de-DE"/>
              </w:rPr>
              <w:t xml:space="preserve">ch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k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ô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l / Hyperlink to the entry of the person in the Register of university staff 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>3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232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OCA5. Oblas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ť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posudzovania / Area of assessment 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>4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Psychol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ó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gia</w:t>
            </w:r>
          </w:p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1455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OCA6. Kateg</w:t>
            </w:r>
            <w:r>
              <w:rPr>
                <w:sz w:val="16"/>
                <w:szCs w:val="16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z w:val="16"/>
                <w:szCs w:val="16"/>
                <w:shd w:val="nil" w:color="auto" w:fill="auto"/>
                <w:rtl w:val="0"/>
                <w:lang w:val="it-IT"/>
              </w:rPr>
              <w:t>ria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stupu tvorivej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č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innosti / Category of the research/ artistic/other output </w:t>
            </w:r>
            <w:r>
              <w:rPr>
                <w:sz w:val="16"/>
                <w:szCs w:val="16"/>
                <w:shd w:val="nil" w:color="auto" w:fill="auto"/>
              </w:rPr>
              <w:br w:type="textWrapping"/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V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ý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:lang w:val="nl-NL"/>
                <w14:textFill>
                  <w14:solidFill>
                    <w14:srgbClr w14:val="808080"/>
                  </w14:solidFill>
                </w14:textFill>
              </w:rPr>
              <w:t>ber zo 6 mo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ž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nost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 xml:space="preserve">í 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(pozri Vysvetlivky k polo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ž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:lang w:val="en-US"/>
                <w14:textFill>
                  <w14:solidFill>
                    <w14:srgbClr w14:val="808080"/>
                  </w14:solidFill>
                </w14:textFill>
              </w:rPr>
              <w:t xml:space="preserve">ke OCA6) / Choice from 6 options (see Explanations for OCA6). 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bidi w:val="0"/>
              <w:spacing w:after="0" w:line="240" w:lineRule="auto"/>
              <w:ind w:left="319" w:right="0" w:firstLine="0"/>
              <w:jc w:val="both"/>
              <w:rPr>
                <w:rFonts w:ascii="Arial" w:cs="Arial" w:hAnsi="Arial" w:eastAsia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Kuch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rov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: kapitola Osobnos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ť 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z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visl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é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ho. Kurikul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á 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pre praktick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ý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ch lek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rov, GS VMDZKD 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Ú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V SR, Bratislava 2000</w:t>
            </w: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after="0" w:line="240" w:lineRule="auto"/>
              <w:ind w:left="319" w:firstLine="0"/>
              <w:jc w:val="both"/>
              <w:rPr>
                <w:rFonts w:ascii="Arial" w:cs="Arial" w:hAnsi="Arial" w:eastAsia="Arial"/>
                <w:spacing w:val="-6"/>
                <w:kern w:val="1"/>
                <w:sz w:val="16"/>
                <w:szCs w:val="16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bidi w:val="0"/>
              <w:spacing w:after="0" w:line="240" w:lineRule="auto"/>
              <w:ind w:left="319" w:right="0" w:firstLine="0"/>
              <w:jc w:val="both"/>
              <w:rPr>
                <w:rFonts w:ascii="Arial" w:cs="Arial" w:hAnsi="Arial" w:eastAsia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C. Fazey a kol.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 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: Soci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lne  a ekonomick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é 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n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klady vynalo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ž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en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é 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na ileg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lne drogy v SR, GS VMDZKD 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Ú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V SR, Bratislava 2006</w:t>
            </w: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after="0" w:line="240" w:lineRule="auto"/>
              <w:ind w:left="319" w:firstLine="0"/>
              <w:jc w:val="both"/>
              <w:rPr>
                <w:rFonts w:ascii="Arial" w:cs="Arial" w:hAnsi="Arial" w:eastAsia="Arial"/>
                <w:spacing w:val="-6"/>
                <w:kern w:val="1"/>
                <w:sz w:val="16"/>
                <w:szCs w:val="16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</w:p>
          <w:p>
            <w:pPr>
              <w:pStyle w:val="Normal.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bidi w:val="0"/>
              <w:spacing w:after="0" w:line="240" w:lineRule="auto"/>
              <w:ind w:left="319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Sreet work a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 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harm reducition v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 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pomoci z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visl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é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mu klientovi Oz Prima v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 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Bratislave, Soci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ln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í 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pr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ce/Soci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lna pr</w:t>
            </w:r>
            <w:r>
              <w:rPr>
                <w:rFonts w:ascii="Arial" w:hAnsi="Arial" w:hint="default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á</w:t>
            </w:r>
            <w:r>
              <w:rPr>
                <w:rFonts w:ascii="Arial" w:hAnsi="Arial"/>
                <w:spacing w:val="-6"/>
                <w:kern w:val="1"/>
                <w:sz w:val="16"/>
                <w:szCs w:val="16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ca, AVSP, Brno, 3/2007.</w:t>
            </w:r>
          </w:p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420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OCA7. Rok vydania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stupu tvorivej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č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>innosti / Year of publication of the research/artistic/other output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2000, 2006 2007</w:t>
            </w:r>
          </w:p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620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OCA8. ID z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znamu v CREP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Č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alebo CREU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Č </w:t>
            </w:r>
            <w:r>
              <w:rPr>
                <w:i w:val="1"/>
                <w:iCs w:val="1"/>
                <w:sz w:val="16"/>
                <w:szCs w:val="16"/>
                <w:shd w:val="nil" w:color="auto" w:fill="auto"/>
                <w:rtl w:val="0"/>
              </w:rPr>
              <w:t>(ak je)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 / ID of the record in the Central Registry of Publication Activity (CRPA) or the Central Registry of Artistic Activity (CRAA) 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>5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420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  <w:lang w:val="nl-NL"/>
              </w:rPr>
              <w:t>OCA9. Hyperlink na z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znam v CREP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Č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alebo CREU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Č 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/ Hyperlink to the record in CRPA or CRAA 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>6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905" w:hRule="atLeast"/>
        </w:trPr>
        <w:tc>
          <w:tcPr>
            <w:tcW w:type="dxa" w:w="66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Charakteristika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stupu, ktor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ý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nie je registrovan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ý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v CREP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Č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alebo CREU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Č 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>/ Characteristics of the output that is not registered in CRPA or CRAA</w:t>
            </w:r>
          </w:p>
        </w:tc>
        <w:tc>
          <w:tcPr>
            <w:tcW w:type="dxa" w:w="43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  <w:lang w:val="nl-NL"/>
              </w:rPr>
              <w:t>OCA10. Hyperlink na z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znam v inom verejne pr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í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stupnom registri, katal</w:t>
            </w:r>
            <w:r>
              <w:rPr>
                <w:sz w:val="16"/>
                <w:szCs w:val="16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gu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stupov tvoriv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  <w:lang w:val="de-DE"/>
              </w:rPr>
              <w:t xml:space="preserve">ch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č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innost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í 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>7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4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1355" w:hRule="atLeast"/>
        </w:trPr>
        <w:tc>
          <w:tcPr>
            <w:tcW w:type="dxa" w:w="66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</w:tcPr>
          <w:p/>
        </w:tc>
        <w:tc>
          <w:tcPr>
            <w:tcW w:type="dxa" w:w="43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OCA11. Charakteristika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stupu vo form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te bibliografick</w:t>
            </w:r>
            <w:r>
              <w:rPr>
                <w:sz w:val="16"/>
                <w:szCs w:val="16"/>
                <w:shd w:val="nil" w:color="auto" w:fill="auto"/>
                <w:rtl w:val="0"/>
                <w:lang w:val="fr-FR"/>
              </w:rPr>
              <w:t>é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ho z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znamu CREP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Č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alebo CREU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Č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, ak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 nie je vo verejne pr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í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stupnom registri alebo katal</w:t>
            </w:r>
            <w:r>
              <w:rPr>
                <w:sz w:val="16"/>
                <w:szCs w:val="16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gu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>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1130" w:hRule="atLeast"/>
        </w:trPr>
        <w:tc>
          <w:tcPr>
            <w:tcW w:type="dxa" w:w="66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</w:tcPr>
          <w:p/>
        </w:tc>
        <w:tc>
          <w:tcPr>
            <w:tcW w:type="dxa" w:w="43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OCA12. Typ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stupu (ak nie je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 registrovan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ý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v CREP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Č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alebo CREU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Č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  <w:shd w:val="nil" w:color="auto" w:fill="auto"/>
              </w:rPr>
              <w:br w:type="textWrapping"/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V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ý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:lang w:val="nl-NL"/>
                <w14:textFill>
                  <w14:solidFill>
                    <w14:srgbClr w14:val="808080"/>
                  </w14:solidFill>
                </w14:textFill>
              </w:rPr>
              <w:t>ber zo 67 mo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ž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nost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 xml:space="preserve">í 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(pozri Vysvetlivky k polo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ž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:lang w:val="en-US"/>
                <w14:textFill>
                  <w14:solidFill>
                    <w14:srgbClr w14:val="808080"/>
                  </w14:solidFill>
                </w14:textFill>
              </w:rPr>
              <w:t xml:space="preserve">ke OCA12) / Choice from 67 options (see Explanations for OCA12). 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950" w:hRule="atLeast"/>
        </w:trPr>
        <w:tc>
          <w:tcPr>
            <w:tcW w:type="dxa" w:w="66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</w:tcPr>
          <w:p/>
        </w:tc>
        <w:tc>
          <w:tcPr>
            <w:tcW w:type="dxa" w:w="43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  <w:lang w:val="nl-NL"/>
              </w:rPr>
              <w:t>OCA13. Hyperlink na str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nku, na ktorej je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 spr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í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stupnen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ý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ú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pln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ý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text, in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á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dokument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>cia a podobne) / Hyperlink to the webpage where the output is available (full text, other documentation, etc.)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605" w:hRule="atLeast"/>
        </w:trPr>
        <w:tc>
          <w:tcPr>
            <w:tcW w:type="dxa" w:w="66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</w:tcPr>
          <w:p/>
        </w:tc>
        <w:tc>
          <w:tcPr>
            <w:tcW w:type="dxa" w:w="43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OCA14. Charakteristika autorsk</w:t>
            </w:r>
            <w:r>
              <w:rPr>
                <w:sz w:val="16"/>
                <w:szCs w:val="16"/>
                <w:shd w:val="nil" w:color="auto" w:fill="auto"/>
                <w:rtl w:val="0"/>
                <w:lang w:val="fr-FR"/>
              </w:rPr>
              <w:t>é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>ho vkladu / Characteristics of the author's contribution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2150" w:hRule="atLeast"/>
        </w:trPr>
        <w:tc>
          <w:tcPr>
            <w:tcW w:type="dxa" w:w="66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</w:tcPr>
          <w:p/>
        </w:tc>
        <w:tc>
          <w:tcPr>
            <w:tcW w:type="dxa" w:w="437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>OCA15. Anot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cia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stupu s kontextov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  <w:lang w:val="it-IT"/>
              </w:rPr>
              <w:t>mi inform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ciami t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kaj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ú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cimi sa opisu tvoriv</w:t>
            </w:r>
            <w:r>
              <w:rPr>
                <w:sz w:val="16"/>
                <w:szCs w:val="16"/>
                <w:shd w:val="nil" w:color="auto" w:fill="auto"/>
                <w:rtl w:val="0"/>
                <w:lang w:val="fr-FR"/>
              </w:rPr>
              <w:t>é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ho procesu a obsahu tvorivej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č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innosti a pod. / Annotation of the output with contextual information concerning the description of creative process and the content of the research/artistic/other activity, etc.  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>8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 xml:space="preserve">Rozsah do 200 slov v slovenskom jazyku / Range up to 200 words in SlovakRozsah do 200 slov v anglickom jazyku / Range up to 200 words in English 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775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9e1f2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>OCA16. Anot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cia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stupu v anglickom jazyku / Annotation of the output in English </w:t>
            </w:r>
            <w:r>
              <w:rPr>
                <w:sz w:val="16"/>
                <w:szCs w:val="16"/>
                <w:shd w:val="nil" w:color="auto" w:fill="auto"/>
                <w:vertAlign w:val="superscript"/>
                <w:rtl w:val="0"/>
              </w:rPr>
              <w:t xml:space="preserve"> 9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:lang w:val="en-US"/>
                <w14:textFill>
                  <w14:solidFill>
                    <w14:srgbClr w14:val="808080"/>
                  </w14:solidFill>
                </w14:textFill>
              </w:rPr>
              <w:t>Rozsah do 200 slov / Range up to 200 words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670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OCA17. Zoznam najviac 5 najv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znamnej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ší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ch ohlasov na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stup  / List of maximum 5 most significant citations corresponding to the output </w:t>
            </w:r>
            <w:r>
              <w:rPr>
                <w:sz w:val="16"/>
                <w:szCs w:val="16"/>
                <w:shd w:val="nil" w:color="auto" w:fill="auto"/>
              </w:rPr>
              <w:br w:type="textWrapping"/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:lang w:val="en-US"/>
                <w14:textFill>
                  <w14:solidFill>
                    <w14:srgbClr w14:val="808080"/>
                  </w14:solidFill>
                </w14:textFill>
              </w:rPr>
              <w:t>Rozsah do 200 slov / Range up to 200 words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566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1030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OCA18. Charakteristika dopadu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stupu na spolo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č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ensko-hospod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 xml:space="preserve">rsku prax / Characteristics of the output's impact on socio-economic practice </w:t>
            </w:r>
            <w:r>
              <w:rPr>
                <w:sz w:val="16"/>
                <w:szCs w:val="16"/>
                <w:shd w:val="nil" w:color="auto" w:fill="auto"/>
              </w:rPr>
              <w:br w:type="textWrapping"/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Rozsah do 200 slov v slovenskom jazyku / Range up to 200 words in Slovak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14:textFill>
                  <w14:solidFill>
                    <w14:srgbClr w14:val="808080"/>
                  </w14:solidFill>
                </w14:textFill>
              </w:rPr>
              <w:br w:type="textWrapping"/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Rozsah do 200 slov v anglickom jazyku / Range up to 200 words in English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dd4e9"/>
        </w:tblPrEx>
        <w:trPr>
          <w:trHeight w:val="1150" w:hRule="atLeast"/>
        </w:trPr>
        <w:tc>
          <w:tcPr>
            <w:tcW w:type="dxa" w:w="5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dae3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OCA19. Charakteristika dopadu 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ý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stupu a s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ú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visiacich aktiv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í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t na vzdel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á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vac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í </w:t>
            </w:r>
            <w:r>
              <w:rPr>
                <w:sz w:val="16"/>
                <w:szCs w:val="16"/>
                <w:shd w:val="nil" w:color="auto" w:fill="auto"/>
                <w:rtl w:val="0"/>
                <w:lang w:val="en-US"/>
              </w:rPr>
              <w:t>proces / Characteristics of the output and related activities' impact on the educational process</w:t>
            </w:r>
            <w:r>
              <w:rPr>
                <w:sz w:val="16"/>
                <w:szCs w:val="16"/>
                <w:shd w:val="nil" w:color="auto" w:fill="auto"/>
              </w:rPr>
              <w:br w:type="textWrapping"/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Rozsah do 200 slov v slovenskom jazyku / Range up to 200 words in Slovak</w:t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14:textFill>
                  <w14:solidFill>
                    <w14:srgbClr w14:val="808080"/>
                  </w14:solidFill>
                </w14:textFill>
              </w:rPr>
              <w:br w:type="textWrapping"/>
            </w:r>
            <w:r>
              <w:rPr>
                <w:i w:val="1"/>
                <w:iCs w:val="1"/>
                <w:outline w:val="0"/>
                <w:color w:val="808080"/>
                <w:sz w:val="16"/>
                <w:szCs w:val="16"/>
                <w:u w:color="808080"/>
                <w:shd w:val="nil" w:color="auto" w:fill="auto"/>
                <w:rtl w:val="0"/>
                <w14:textFill>
                  <w14:solidFill>
                    <w14:srgbClr w14:val="808080"/>
                  </w14:solidFill>
                </w14:textFill>
              </w:rPr>
              <w:t>Rozsah do 200 slov v anglickom jazyku / Range up to 200 words in English</w:t>
            </w:r>
          </w:p>
        </w:tc>
        <w:tc>
          <w:tcPr>
            <w:tcW w:type="dxa" w:w="512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2"/>
            <w:tcBorders>
              <w:top w:val="nil"/>
              <w:left w:val="single" w:color="000000" w:sz="8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Tel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/>
    </w:p>
    <w:sectPr>
      <w:headerReference w:type="default" r:id="rId4"/>
      <w:footerReference w:type="default" r:id="rId5"/>
      <w:pgSz w:w="11900" w:h="16840" w:orient="portrait"/>
      <w:pgMar w:top="720" w:right="720" w:bottom="720" w:left="72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lavička a pät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lavička a pät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slovenčina" w:val="‘“(〔[{〈《「『【⦅〘〖«〝︵︷︹︻︽︿﹁﹃﹇﹙﹛﹝｢"/>
  <w:noLineBreaksBefore w:lang="slovenč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lavička a päta">
    <w:name w:val="Hlavička a päta"/>
    <w:next w:val="Hlavička a pät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lo">
    <w:name w:val="Telo"/>
    <w:next w:val="Tel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ív Office">
  <a:themeElements>
    <a:clrScheme name="Motí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í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